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E92" w:rsidRPr="004204CE" w:rsidRDefault="00EE0E92" w:rsidP="00EE0E92">
      <w:pPr>
        <w:shd w:val="clear" w:color="auto" w:fill="FFFFFF"/>
        <w:jc w:val="both"/>
        <w:rPr>
          <w:rFonts w:asciiTheme="minorHAnsi" w:hAnsiTheme="minorHAnsi"/>
        </w:rPr>
      </w:pPr>
      <w:r w:rsidRPr="004204CE">
        <w:rPr>
          <w:rFonts w:asciiTheme="minorHAnsi" w:hAnsiTheme="minorHAnsi"/>
          <w:i/>
          <w:iCs/>
        </w:rPr>
        <w:t> Informazioni oggetto di pubblicazione</w:t>
      </w:r>
    </w:p>
    <w:p w:rsidR="00EE0E92" w:rsidRPr="004204CE" w:rsidRDefault="00EE0E92" w:rsidP="00EE0E92">
      <w:pPr>
        <w:numPr>
          <w:ilvl w:val="0"/>
          <w:numId w:val="2"/>
        </w:numPr>
        <w:shd w:val="clear" w:color="auto" w:fill="FFFFFF"/>
        <w:rPr>
          <w:rFonts w:asciiTheme="minorHAnsi" w:hAnsiTheme="minorHAnsi"/>
        </w:rPr>
      </w:pPr>
      <w:r w:rsidRPr="004204CE">
        <w:rPr>
          <w:rFonts w:asciiTheme="minorHAnsi" w:hAnsiTheme="minorHAnsi"/>
        </w:rPr>
        <w:t>Le informazioni oggetto di pubblicazione sui siti web istituzionali da parte dei soggetti indicati all’articolo 2 sono le seguenti:</w:t>
      </w:r>
    </w:p>
    <w:tbl>
      <w:tblPr>
        <w:tblW w:w="10363"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4815"/>
        <w:gridCol w:w="5548"/>
      </w:tblGrid>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br/>
            </w:r>
            <w:r w:rsidRPr="007D1860">
              <w:rPr>
                <w:rFonts w:asciiTheme="minorHAnsi" w:hAnsiTheme="minorHAnsi"/>
                <w:b/>
                <w:bCs/>
                <w:color w:val="222222"/>
              </w:rPr>
              <w:t>Dato</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b/>
                <w:bCs/>
                <w:color w:val="222222"/>
              </w:rPr>
              <w:t>Descrizione</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CIG</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Codice Identificativo Gara rilasciato dall’Autorità</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Struttura proponente</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Codice fiscale e denominazione della Stazione Appaltante responsabile del procedimento di scelta del contraente</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Oggetto del bando</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Oggetto del lotto identificato dal CIG</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Procedura di scelta del contraente</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Procedura di scelta del contraente</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Elenco degli operatori invitati a presentare offerte</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Elenco degli OE partecipanti alla procedura di scelta del contraente. Per ciascun soggetto partecipante vanno specificati: codice fiscale, ragione sociale e ruolo in caso di partecipazione in associazione con altri soggetti</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Aggiudicatario</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Elenco degli OE risultati aggiudicatari della procedura di scelta del contraente. Per ciascun soggetto aggiudicatario vanno specificati: codice fiscale, ragione sociale e ruolo in caso di partecipazione in associazione con altri soggetti</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Importo di aggiudicazione</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Importo di aggiudicazione al lordo degli oneri di sicurezza ed al netto dell’IVA</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Tempi di completamento dell’opera, servizio o fornitura</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Data di effettivo inizio lavori, servizi o forniture</w:t>
            </w:r>
            <w:r w:rsidRPr="007D1860">
              <w:rPr>
                <w:rFonts w:asciiTheme="minorHAnsi" w:hAnsiTheme="minorHAnsi"/>
                <w:color w:val="222222"/>
              </w:rPr>
              <w:br/>
              <w:t>Data di ultimazione lavori, servizi o forniture</w:t>
            </w:r>
          </w:p>
        </w:tc>
      </w:tr>
      <w:tr w:rsidR="00EE0E92" w:rsidRPr="007D1860" w:rsidTr="00900374">
        <w:trPr>
          <w:tblCellSpacing w:w="0" w:type="dxa"/>
        </w:trPr>
        <w:tc>
          <w:tcPr>
            <w:tcW w:w="4815"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Importo delle somme liquidate</w:t>
            </w:r>
          </w:p>
        </w:tc>
        <w:tc>
          <w:tcPr>
            <w:tcW w:w="5548" w:type="dxa"/>
            <w:tcBorders>
              <w:top w:val="outset" w:sz="6" w:space="0" w:color="auto"/>
              <w:left w:val="outset" w:sz="6" w:space="0" w:color="auto"/>
              <w:bottom w:val="outset" w:sz="6" w:space="0" w:color="auto"/>
              <w:right w:val="outset" w:sz="6" w:space="0" w:color="auto"/>
            </w:tcBorders>
            <w:shd w:val="clear" w:color="auto" w:fill="FFFFFF"/>
            <w:hideMark/>
          </w:tcPr>
          <w:p w:rsidR="00EE0E92" w:rsidRPr="007D1860" w:rsidRDefault="00EE0E92" w:rsidP="00900374">
            <w:pPr>
              <w:rPr>
                <w:rFonts w:asciiTheme="minorHAnsi" w:hAnsiTheme="minorHAnsi"/>
                <w:color w:val="222222"/>
              </w:rPr>
            </w:pPr>
            <w:r w:rsidRPr="007D1860">
              <w:rPr>
                <w:rFonts w:asciiTheme="minorHAnsi" w:hAnsiTheme="minorHAnsi"/>
                <w:color w:val="222222"/>
              </w:rPr>
              <w:t>Importo complessivo dell’appalto al netto dell’IVA</w:t>
            </w:r>
          </w:p>
        </w:tc>
      </w:tr>
    </w:tbl>
    <w:p w:rsidR="00EE0E92" w:rsidRDefault="00EE0E92" w:rsidP="00EE0E92">
      <w:pPr>
        <w:shd w:val="clear" w:color="auto" w:fill="FFFFFF"/>
        <w:ind w:left="720"/>
        <w:jc w:val="both"/>
        <w:rPr>
          <w:rFonts w:asciiTheme="minorHAnsi" w:hAnsiTheme="minorHAnsi"/>
          <w:color w:val="222222"/>
        </w:rPr>
      </w:pPr>
    </w:p>
    <w:p w:rsidR="00EE0E92" w:rsidRPr="00EE0E92" w:rsidRDefault="00EE0E92" w:rsidP="00EE0E92">
      <w:pPr>
        <w:shd w:val="clear" w:color="auto" w:fill="FFFFFF"/>
        <w:jc w:val="both"/>
        <w:rPr>
          <w:rFonts w:asciiTheme="minorHAnsi" w:hAnsiTheme="minorHAnsi"/>
          <w:b/>
          <w:color w:val="222222"/>
          <w:u w:val="single"/>
        </w:rPr>
      </w:pPr>
      <w:r w:rsidRPr="00EE0E92">
        <w:rPr>
          <w:rFonts w:asciiTheme="minorHAnsi" w:hAnsiTheme="minorHAnsi"/>
          <w:b/>
          <w:color w:val="222222"/>
          <w:u w:val="single"/>
        </w:rPr>
        <w:t>Obblighi dell’Ente</w:t>
      </w:r>
    </w:p>
    <w:p w:rsidR="00EE0E92" w:rsidRPr="004204CE" w:rsidRDefault="00EE0E92" w:rsidP="00EE0E92">
      <w:pPr>
        <w:numPr>
          <w:ilvl w:val="0"/>
          <w:numId w:val="1"/>
        </w:numPr>
        <w:shd w:val="clear" w:color="auto" w:fill="FFFFFF"/>
        <w:jc w:val="both"/>
        <w:rPr>
          <w:rFonts w:asciiTheme="minorHAnsi" w:hAnsiTheme="minorHAnsi"/>
          <w:color w:val="222222"/>
        </w:rPr>
      </w:pPr>
      <w:r w:rsidRPr="004204CE">
        <w:rPr>
          <w:rFonts w:asciiTheme="minorHAnsi" w:hAnsiTheme="minorHAnsi"/>
          <w:color w:val="222222"/>
        </w:rPr>
        <w:t>Gli obblighi di trasmissione all’Autorità delle informazioni di cui all’art. 1, comma 32 della Legge n. 190/2012, come indicate all’articolo 3 della presente delibera si intendono assolti, per i contratti di importo superiore a 40.000 euro, con l’effettuazione delle comunicazioni telematiche obbligatorie all’Osservatorio dei Contratti Pubblici, ai sensi dell’art. 7, comma 8, del Codice dei Contratti Pubblici.</w:t>
      </w:r>
    </w:p>
    <w:p w:rsidR="00EE0E92" w:rsidRPr="004204CE" w:rsidRDefault="00EE0E92" w:rsidP="00EE0E92">
      <w:pPr>
        <w:numPr>
          <w:ilvl w:val="0"/>
          <w:numId w:val="1"/>
        </w:numPr>
        <w:shd w:val="clear" w:color="auto" w:fill="FFFFFF"/>
        <w:jc w:val="both"/>
        <w:rPr>
          <w:rFonts w:asciiTheme="minorHAnsi" w:hAnsiTheme="minorHAnsi"/>
          <w:color w:val="222222"/>
        </w:rPr>
      </w:pPr>
      <w:r w:rsidRPr="004204CE">
        <w:rPr>
          <w:rFonts w:asciiTheme="minorHAnsi" w:hAnsiTheme="minorHAnsi"/>
          <w:color w:val="222222"/>
        </w:rPr>
        <w:t>Ai fini della semplificazione dell’azione amministrativa, in sede di prima applicazione, per gli appalti di ambito regionale, gli obblighi di trasmissione all’Autorità, previsti dall’’art. 1, comma 32, della legge n. 190/2012, relativi alle fasi di aggiudicazione ed esecuzione, sono assolti mediante le comunicazioni effettuate ai sensi dell’art. 7, comma 8, del Codice dei Contratti Pubblici, all’Osservatorio dei Contratti Pubblici che le pubblica tempestivamente sul Portale Trasparenza.</w:t>
      </w:r>
    </w:p>
    <w:p w:rsidR="00EE0E92" w:rsidRPr="004204CE" w:rsidRDefault="00EE0E92" w:rsidP="00EE0E92">
      <w:pPr>
        <w:numPr>
          <w:ilvl w:val="0"/>
          <w:numId w:val="1"/>
        </w:numPr>
        <w:shd w:val="clear" w:color="auto" w:fill="FFFFFF"/>
        <w:jc w:val="both"/>
        <w:rPr>
          <w:rFonts w:asciiTheme="minorHAnsi" w:hAnsiTheme="minorHAnsi"/>
          <w:color w:val="222222"/>
        </w:rPr>
      </w:pPr>
      <w:r w:rsidRPr="004204CE">
        <w:rPr>
          <w:rFonts w:asciiTheme="minorHAnsi" w:hAnsiTheme="minorHAnsi"/>
          <w:color w:val="222222"/>
        </w:rPr>
        <w:t>Per i contratti di importo inferiore a 40.000 euro, i soggetti di cui all’articolo 2 sono tenuti ad effettuare sui loro siti web istituzionali la pubblicazione delle informazioni indicate al precedente articolo 3; in fase di prima applicazione, per l’anno 2013, gli obblighi di trasmissione all’Autorità si intendono assolti mediante l’effettuazione delle comunicazioni previste dai sistemi SMART CIG o SIMOG.</w:t>
      </w:r>
    </w:p>
    <w:p w:rsidR="00EE0E92" w:rsidRDefault="00EE0E92">
      <w:pPr>
        <w:spacing w:after="200" w:line="276" w:lineRule="auto"/>
        <w:rPr>
          <w:rFonts w:asciiTheme="minorHAnsi" w:hAnsiTheme="minorHAnsi"/>
          <w:color w:val="1F497D"/>
        </w:rPr>
      </w:pPr>
      <w:r>
        <w:rPr>
          <w:rFonts w:asciiTheme="minorHAnsi" w:hAnsiTheme="minorHAnsi"/>
          <w:color w:val="1F497D"/>
        </w:rPr>
        <w:br w:type="page"/>
      </w:r>
    </w:p>
    <w:p w:rsidR="00EE0E92" w:rsidRDefault="00EE0E92" w:rsidP="00EE0E92">
      <w:pPr>
        <w:shd w:val="clear" w:color="auto" w:fill="FFFFFF"/>
        <w:rPr>
          <w:rFonts w:asciiTheme="minorHAnsi" w:hAnsiTheme="minorHAnsi"/>
          <w:color w:val="1F497D"/>
        </w:rPr>
      </w:pPr>
    </w:p>
    <w:p w:rsidR="00EE0E92" w:rsidRPr="00EE0E92" w:rsidRDefault="00EE0E92" w:rsidP="00EE0E92">
      <w:pPr>
        <w:shd w:val="clear" w:color="auto" w:fill="FFFFFF"/>
        <w:rPr>
          <w:rFonts w:asciiTheme="minorHAnsi" w:hAnsiTheme="minorHAnsi"/>
          <w:b/>
          <w:u w:val="single"/>
        </w:rPr>
      </w:pPr>
      <w:r w:rsidRPr="00EE0E92">
        <w:rPr>
          <w:rFonts w:asciiTheme="minorHAnsi" w:hAnsiTheme="minorHAnsi"/>
          <w:b/>
          <w:u w:val="single"/>
        </w:rPr>
        <w:t>Comma 32 art 1 l 190/12:  </w:t>
      </w:r>
    </w:p>
    <w:p w:rsidR="00EE0E92" w:rsidRPr="004204CE" w:rsidRDefault="00EE0E92" w:rsidP="00EE0E92">
      <w:pPr>
        <w:shd w:val="clear" w:color="auto" w:fill="FFFFFF"/>
        <w:jc w:val="both"/>
        <w:rPr>
          <w:rFonts w:asciiTheme="minorHAnsi" w:hAnsiTheme="minorHAnsi"/>
          <w:color w:val="222222"/>
        </w:rPr>
      </w:pPr>
      <w:r w:rsidRPr="004204CE">
        <w:rPr>
          <w:rFonts w:asciiTheme="minorHAnsi" w:hAnsiTheme="minorHAnsi"/>
          <w:color w:val="1F497D"/>
        </w:rPr>
        <w:t>“</w:t>
      </w:r>
      <w:r w:rsidRPr="004204CE">
        <w:rPr>
          <w:rFonts w:asciiTheme="minorHAnsi" w:hAnsiTheme="minorHAnsi"/>
          <w:color w:val="222222"/>
        </w:rPr>
        <w:t>Entro il 31 gennaio di ogni anno, tali informazioni, relativamente all'anno precedente, sono pubblicate in tabelle riassuntive rese liberamente scaricabili in un formato digitale standard aperto che consenta di analizzare e rielaborare, anche a fini statistici, i dati informatici. Le amministrazioni trasmettono in formato digitale tali informazioni all'</w:t>
      </w:r>
      <w:proofErr w:type="spellStart"/>
      <w:r w:rsidRPr="004204CE">
        <w:rPr>
          <w:rFonts w:asciiTheme="minorHAnsi" w:hAnsiTheme="minorHAnsi"/>
          <w:color w:val="222222"/>
        </w:rPr>
        <w:t>Autorita</w:t>
      </w:r>
      <w:proofErr w:type="spellEnd"/>
      <w:r w:rsidRPr="004204CE">
        <w:rPr>
          <w:rFonts w:asciiTheme="minorHAnsi" w:hAnsiTheme="minorHAnsi"/>
          <w:color w:val="222222"/>
        </w:rPr>
        <w:t>' per la vigilanza sui contratti pubblici di lavori, servizi e forniture, che le pubblica nel proprio sito web in una sezione liberamente consultabile da tutti i cittadini, catalogate in base alla tipologia di stazione appaltante e per regione. L'</w:t>
      </w:r>
      <w:proofErr w:type="spellStart"/>
      <w:r w:rsidRPr="004204CE">
        <w:rPr>
          <w:rFonts w:asciiTheme="minorHAnsi" w:hAnsiTheme="minorHAnsi"/>
          <w:color w:val="222222"/>
        </w:rPr>
        <w:t>Autorita</w:t>
      </w:r>
      <w:proofErr w:type="spellEnd"/>
      <w:r w:rsidRPr="004204CE">
        <w:rPr>
          <w:rFonts w:asciiTheme="minorHAnsi" w:hAnsiTheme="minorHAnsi"/>
          <w:color w:val="222222"/>
        </w:rPr>
        <w:t xml:space="preserve">' individua con propria deliberazione le informazioni rilevanti e le relative </w:t>
      </w:r>
      <w:proofErr w:type="spellStart"/>
      <w:r w:rsidRPr="004204CE">
        <w:rPr>
          <w:rFonts w:asciiTheme="minorHAnsi" w:hAnsiTheme="minorHAnsi"/>
          <w:color w:val="222222"/>
        </w:rPr>
        <w:t>modalita'</w:t>
      </w:r>
      <w:proofErr w:type="spellEnd"/>
      <w:r w:rsidRPr="004204CE">
        <w:rPr>
          <w:rFonts w:asciiTheme="minorHAnsi" w:hAnsiTheme="minorHAnsi"/>
          <w:color w:val="222222"/>
        </w:rPr>
        <w:t xml:space="preserve"> di trasmissione. Entro il 30 aprile di ciascun anno, l'</w:t>
      </w:r>
      <w:proofErr w:type="spellStart"/>
      <w:r w:rsidRPr="004204CE">
        <w:rPr>
          <w:rFonts w:asciiTheme="minorHAnsi" w:hAnsiTheme="minorHAnsi"/>
          <w:color w:val="222222"/>
        </w:rPr>
        <w:t>Autorita</w:t>
      </w:r>
      <w:proofErr w:type="spellEnd"/>
      <w:r w:rsidRPr="004204CE">
        <w:rPr>
          <w:rFonts w:asciiTheme="minorHAnsi" w:hAnsiTheme="minorHAnsi"/>
          <w:color w:val="222222"/>
        </w:rPr>
        <w:t>' per la vigilanza sui contratti pubblici di lavori, servizi e forniture trasmette alla Corte dei conti l'elenco delle amministrazioni che hanno omesso di trasmettere e pubblicare, in tutto o in parte, le informazioni di cui al presente comma in formato digitale standard aperto. Si applica l'articolo 6, comma 11, del codice di cui al</w:t>
      </w:r>
      <w:r w:rsidRPr="004204CE">
        <w:rPr>
          <w:rStyle w:val="apple-converted-space"/>
          <w:rFonts w:asciiTheme="minorHAnsi" w:hAnsiTheme="minorHAnsi"/>
          <w:color w:val="222222"/>
        </w:rPr>
        <w:t> </w:t>
      </w:r>
      <w:hyperlink r:id="rId5" w:tgtFrame="_blank" w:history="1">
        <w:r w:rsidRPr="004204CE">
          <w:rPr>
            <w:rStyle w:val="Collegamentoipertestuale"/>
            <w:rFonts w:asciiTheme="minorHAnsi" w:hAnsiTheme="minorHAnsi"/>
            <w:color w:val="004F8A"/>
          </w:rPr>
          <w:t>decreto legislativo 12 aprile 2006, n. 163</w:t>
        </w:r>
      </w:hyperlink>
      <w:r w:rsidRPr="004204CE">
        <w:rPr>
          <w:rStyle w:val="apple-converted-space"/>
          <w:rFonts w:asciiTheme="minorHAnsi" w:hAnsiTheme="minorHAnsi"/>
          <w:color w:val="222222"/>
        </w:rPr>
        <w:t> </w:t>
      </w:r>
      <w:r w:rsidRPr="004204CE">
        <w:rPr>
          <w:rFonts w:asciiTheme="minorHAnsi" w:hAnsiTheme="minorHAnsi"/>
          <w:color w:val="222222"/>
        </w:rPr>
        <w:t>.”</w:t>
      </w:r>
    </w:p>
    <w:p w:rsidR="00076D7D" w:rsidRDefault="00076D7D"/>
    <w:sectPr w:rsidR="00076D7D" w:rsidSect="000C4D2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0B76"/>
    <w:multiLevelType w:val="multilevel"/>
    <w:tmpl w:val="A6F0B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09E6295"/>
    <w:multiLevelType w:val="multilevel"/>
    <w:tmpl w:val="572A8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E0E92"/>
    <w:rsid w:val="00076D7D"/>
    <w:rsid w:val="000C4D2C"/>
    <w:rsid w:val="001708CD"/>
    <w:rsid w:val="003269B3"/>
    <w:rsid w:val="00357DB0"/>
    <w:rsid w:val="00387EE2"/>
    <w:rsid w:val="00495A16"/>
    <w:rsid w:val="007725A8"/>
    <w:rsid w:val="00871E2A"/>
    <w:rsid w:val="00983B12"/>
    <w:rsid w:val="009B0A01"/>
    <w:rsid w:val="00A85EE5"/>
    <w:rsid w:val="00BE0291"/>
    <w:rsid w:val="00C03992"/>
    <w:rsid w:val="00C45EBB"/>
    <w:rsid w:val="00D331EB"/>
    <w:rsid w:val="00EA3E28"/>
    <w:rsid w:val="00EE0E92"/>
    <w:rsid w:val="00F309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E0E92"/>
    <w:pPr>
      <w:spacing w:after="0" w:line="240" w:lineRule="auto"/>
    </w:pPr>
    <w:rPr>
      <w:rFonts w:eastAsia="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E0E92"/>
    <w:rPr>
      <w:color w:val="0000FF"/>
      <w:u w:val="single"/>
    </w:rPr>
  </w:style>
  <w:style w:type="character" w:customStyle="1" w:styleId="apple-converted-space">
    <w:name w:val="apple-converted-space"/>
    <w:basedOn w:val="Carpredefinitoparagrafo"/>
    <w:rsid w:val="00EE0E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usexplorer.it/FontiNormative/ShowCurrentDocument?IdDocMaster=3948605&amp;IdUnitaDoc=20131856&amp;NVigUnitaDoc=1&amp;IdDatabanks=7&amp;Pagina=0"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3466</Characters>
  <Application>Microsoft Office Word</Application>
  <DocSecurity>0</DocSecurity>
  <Lines>28</Lines>
  <Paragraphs>8</Paragraphs>
  <ScaleCrop>false</ScaleCrop>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marta</cp:lastModifiedBy>
  <cp:revision>2</cp:revision>
  <dcterms:created xsi:type="dcterms:W3CDTF">2015-02-02T08:21:00Z</dcterms:created>
  <dcterms:modified xsi:type="dcterms:W3CDTF">2015-02-02T08:21:00Z</dcterms:modified>
</cp:coreProperties>
</file>